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4-3  ·  Session 1  ·  Explain Your Thinking</w:t>
      </w:r>
    </w:p>
    <w:p>
      <w:pPr>
        <w:keepNext/>
        <w:spacing w:before="0" w:after="10" w:line="240" w:lineRule="auto"/>
        <w:outlineLvl w:val="0"/>
      </w:pPr>
      <w:r>
        <w:rPr>
          <w:rFonts w:ascii="Avenir Next" w:hAnsi="Avenir Next" w:cs="Avenir Next" w:eastAsia="Avenir Next"/>
          <w:b/>
          <w:color w:val="1A1A1A"/>
          <w:sz w:val="32"/>
          <w:szCs w:val="32"/>
        </w:rPr>
        <w:t xml:space="preserve">Estimate with Benchmarks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Study the model. Then solve your own problem the same way. Use only the help you need.</w:t>
      </w:r>
    </w:p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8"/>
          <w:szCs w:val="18"/>
        </w:rPr>
        <w:t xml:space="preserve">estimate</w:t>
      </w:r>
      <w:r>
        <w:rPr>
          <w:rFonts w:ascii="Avenir Next" w:hAnsi="Avenir Next" w:cs="Avenir Next" w:eastAsia="Avenir Next"/>
          <w:i/>
          <w:color w:val="5A5F66"/>
          <w:sz w:val="18"/>
          <w:szCs w:val="18"/>
        </w:rPr>
        <w:t xml:space="preserve"> (estimar)</w:t>
      </w:r>
      <w:r>
        <w:rPr>
          <w:rFonts w:ascii="Avenir Next" w:hAnsi="Avenir Next" w:cs="Avenir Next" w:eastAsia="Avenir Next"/>
          <w:color w:val="5A5F66"/>
          <w:sz w:val="18"/>
          <w:szCs w:val="18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8"/>
          <w:szCs w:val="18"/>
        </w:rPr>
        <w:t xml:space="preserve">benchmark percent</w:t>
      </w:r>
      <w:r>
        <w:rPr>
          <w:rFonts w:ascii="Avenir Next" w:hAnsi="Avenir Next" w:cs="Avenir Next" w:eastAsia="Avenir Next"/>
          <w:i/>
          <w:color w:val="5A5F66"/>
          <w:sz w:val="18"/>
          <w:szCs w:val="18"/>
        </w:rPr>
        <w:t xml:space="preserve"> (porcentaje de referencia)</w:t>
      </w:r>
      <w:r>
        <w:rPr>
          <w:rFonts w:ascii="Avenir Next" w:hAnsi="Avenir Next" w:cs="Avenir Next" w:eastAsia="Avenir Next"/>
          <w:color w:val="5A5F66"/>
          <w:sz w:val="18"/>
          <w:szCs w:val="18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8"/>
          <w:szCs w:val="18"/>
        </w:rPr>
        <w:t xml:space="preserve">the whole</w:t>
      </w:r>
      <w:r>
        <w:rPr>
          <w:rFonts w:ascii="Avenir Next" w:hAnsi="Avenir Next" w:cs="Avenir Next" w:eastAsia="Avenir Next"/>
          <w:i/>
          <w:color w:val="5A5F66"/>
          <w:sz w:val="18"/>
          <w:szCs w:val="18"/>
        </w:rPr>
        <w:t xml:space="preserve"> (el entero)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  <w:outlineLvl w:val="1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1 · SEE A MODEL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read it with a partner</w:t>
      </w: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20" w:type="dxa"/>
          <w:right w:w="15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SEE A MODEL</w:t>
            </w:r>
            <w:r>
              <w:rPr>
                <w:rFonts w:ascii="Avenir Next" w:hAnsi="Avenir Next" w:cs="Avenir Next" w:eastAsia="Avenir Next"/>
                <w:i/>
                <w:color w:val="5A5F66"/>
                <w:sz w:val="15"/>
                <w:szCs w:val="15"/>
              </w:rPr>
              <w:t xml:space="preserve">   a problem like yours, solved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parking lot has 80 spaces. 61 spaces are full. About what percent of the lot is full?</w:t>
            </w:r>
          </w:p>
          <w:p>
            <w:pPr>
              <w:spacing w:before="0" w:after="20" w:line="264" w:lineRule="auto"/>
              <w:jc w:val="center"/>
            </w:pPr>
            <w:r>
              <w:drawing>
                <wp:inline distT="0" distB="0" distL="0" distR="0">
                  <wp:extent cx="3299155" cy="712317"/>
                  <wp:docPr id="1" name="Fig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9155" cy="7123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2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5300"/>
        <w:gridCol w:w="4204"/>
      </w:tblGrid>
      <w:tr>
        <w:trPr>
          <w:cantSplit/>
        </w:trPr>
        <w:tc>
          <w:tcPr>
            <w:tcW w:w="5300" w:type="dxa"/>
            <w:shd w:val="clear" w:color="auto" w:fill="F2F4F6"/>
            <w:vAlign w:val="top"/>
          </w:tcPr>
          <w:p>
            <w:pPr>
              <w:spacing w:before="0" w:after="3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4"/>
                <w:szCs w:val="14"/>
              </w:rPr>
              <w:t xml:space="preserve">HOW I SOLVED IT</w:t>
            </w:r>
          </w:p>
          <w:p>
            <w:pPr>
              <w:tabs>
                <w:tab w:val="left" w:pos="300"/>
              </w:tabs>
              <w:spacing w:before="0" w:after="30" w:line="252" w:lineRule="auto"/>
              <w:ind w:left="300" w:hanging="3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Name the whole.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80 spaces = 100%.</w:t>
            </w:r>
          </w:p>
          <w:p>
            <w:pPr>
              <w:tabs>
                <w:tab w:val="left" w:pos="300"/>
              </w:tabs>
              <w:spacing w:before="0" w:after="30" w:line="252" w:lineRule="auto"/>
              <w:ind w:left="300" w:hanging="3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Find benchmarks.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25% = 20, 50% = 40, 75% = 60.</w:t>
            </w:r>
          </w:p>
          <w:p>
            <w:pPr>
              <w:tabs>
                <w:tab w:val="left" w:pos="300"/>
              </w:tabs>
              <w:spacing w:before="0" w:after="30" w:line="252" w:lineRule="auto"/>
              <w:ind w:left="300" w:hanging="3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Compare.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61 is very close to 60, so the lot is about </w:t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75%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full.</w:t>
            </w:r>
          </w:p>
        </w:tc>
        <w:tc>
          <w:tcPr>
            <w:tcW w:w="4204" w:type="dxa"/>
            <w:shd w:val="clear" w:color="auto" w:fill="F2F4F6"/>
            <w:vAlign w:val="top"/>
          </w:tcPr>
          <w:p>
            <w:pPr>
              <w:spacing w:before="0" w:after="2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4"/>
                <w:szCs w:val="14"/>
              </w:rPr>
              <w:t xml:space="preserve">I SAY</w:t>
            </w:r>
          </w:p>
          <w:p>
            <w:pPr>
              <w:spacing w:before="0" w:after="60" w:line="252" w:lineRule="auto"/>
            </w:pP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“The whole is </w:t>
            </w:r>
            <w:r>
              <w:rPr>
                <w:rFonts w:ascii="Avenir Next" w:hAnsi="Avenir Next" w:cs="Avenir Next" w:eastAsia="Avenir Next"/>
                <w:b/>
                <w:i/>
                <w:color w:val="1A1A1A"/>
                <w:sz w:val="17"/>
                <w:szCs w:val="17"/>
              </w:rPr>
              <w:t xml:space="preserve">80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. The part is close to </w:t>
            </w:r>
            <w:r>
              <w:rPr>
                <w:rFonts w:ascii="Avenir Next" w:hAnsi="Avenir Next" w:cs="Avenir Next" w:eastAsia="Avenir Next"/>
                <w:b/>
                <w:i/>
                <w:color w:val="1A1A1A"/>
                <w:sz w:val="17"/>
                <w:szCs w:val="17"/>
              </w:rPr>
              <w:t xml:space="preserve">60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, which is </w:t>
            </w:r>
            <w:r>
              <w:rPr>
                <w:rFonts w:ascii="Avenir Next" w:hAnsi="Avenir Next" w:cs="Avenir Next" w:eastAsia="Avenir Next"/>
                <w:b/>
                <w:i/>
                <w:color w:val="1A1A1A"/>
                <w:sz w:val="17"/>
                <w:szCs w:val="17"/>
              </w:rPr>
              <w:t xml:space="preserve">75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% of the whole.”</w:t>
            </w:r>
          </w:p>
          <w:p>
            <w:pPr>
              <w:spacing w:before="0" w:after="2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4"/>
                <w:szCs w:val="14"/>
              </w:rPr>
              <w:t xml:space="preserve">I WRITE</w:t>
            </w:r>
          </w:p>
          <w:p>
            <w:pPr>
              <w:spacing w:before="0" w:after="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I know 61 out of 80 is about </w:t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75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% because </w:t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75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% of </w:t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80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is </w:t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60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, and 61 is close to 60.</w:t>
            </w:r>
          </w:p>
        </w:tc>
      </w:tr>
    </w:tbl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  <w:outlineLvl w:val="1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2 · DRAW IT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your turn: label the whole, the part and the percent</w:t>
      </w:r>
    </w:p>
    <w:p>
      <w:pPr>
        <w:keepNext/>
        <w:spacing w:before="0" w:after="50" w:line="268" w:lineRule="auto"/>
      </w:pP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A water tank holds 120 gallons. It has 82 gallons in it. About what percent of the tank is full? Use the bar to find benchmark amounts.</w:t>
      </w:r>
    </w:p>
    <w:p>
      <w:pPr>
        <w:keepNext/>
        <w:spacing w:before="20" w:after="40" w:line="264" w:lineRule="auto"/>
        <w:jc w:val="center"/>
      </w:pPr>
      <w:r>
        <w:drawing>
          <wp:inline distT="0" distB="0" distL="0" distR="0">
            <wp:extent cx="3419856" cy="738378"/>
            <wp:docPr id="2" name="Fig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419856" cy="738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spacing w:before="0" w:after="20" w:line="264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4"/>
          <w:szCs w:val="14"/>
        </w:rPr>
        <w:t xml:space="preserve">TRY THESE STEPS</w:t>
      </w:r>
      <w:r>
        <w:rPr>
          <w:rFonts w:ascii="Avenir Next" w:hAnsi="Avenir Next" w:cs="Avenir Next" w:eastAsia="Avenir Next"/>
          <w:i/>
          <w:color w:val="5A5F66"/>
          <w:sz w:val="14"/>
          <w:szCs w:val="14"/>
        </w:rPr>
        <w:t xml:space="preserve">   fill in the blanks as you work</w:t>
      </w:r>
    </w:p>
    <w:p>
      <w:pPr>
        <w:tabs>
          <w:tab w:val="left" w:pos="300"/>
        </w:tabs>
        <w:spacing w:before="0" w:after="30" w:line="252" w:lineRule="auto"/>
        <w:ind w:left="300" w:hanging="300"/>
      </w:pPr>
      <w:r>
        <w:rPr>
          <w:rFonts w:ascii="Avenir Next" w:hAnsi="Avenir Next" w:cs="Avenir Next" w:eastAsia="Avenir Next"/>
          <w:b/>
          <w:color w:val="003A70"/>
          <w:sz w:val="18"/>
          <w:szCs w:val="18"/>
        </w:rPr>
        <w:t xml:space="preserve">1</w:t>
      </w:r>
      <w:r>
        <w:rPr>
          <w:rFonts w:ascii="Avenir Next" w:hAnsi="Avenir Next" w:cs="Avenir Next" w:eastAsia="Avenir Next"/>
          <w:color w:val="1A1A1A"/>
          <w:sz w:val="18"/>
          <w:szCs w:val="18"/>
        </w:rPr>
        <w:tab/>
      </w:r>
      <w:r>
        <w:rPr>
          <w:rFonts w:ascii="Avenir Next" w:hAnsi="Avenir Next" w:cs="Avenir Next" w:eastAsia="Avenir Next"/>
          <w:color w:val="1A1A1A"/>
          <w:sz w:val="18"/>
          <w:szCs w:val="18"/>
        </w:rPr>
        <w:t xml:space="preserve">Name the whole: </w:t>
      </w:r>
      <w:r>
        <w:rPr>
          <w:rFonts w:ascii="Avenir Next" w:hAnsi="Avenir Next" w:cs="Avenir Next" w:eastAsia="Avenir Next"/>
          <w:color w:val="1A1A1A"/>
          <w:sz w:val="18"/>
          <w:szCs w:val="18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8"/>
          <w:szCs w:val="18"/>
        </w:rPr>
        <w:t xml:space="preserve"> gallons = 100%.</w:t>
      </w:r>
    </w:p>
    <w:p>
      <w:pPr>
        <w:tabs>
          <w:tab w:val="left" w:pos="300"/>
        </w:tabs>
        <w:spacing w:before="0" w:after="30" w:line="252" w:lineRule="auto"/>
        <w:ind w:left="300" w:hanging="300"/>
      </w:pPr>
      <w:r>
        <w:rPr>
          <w:rFonts w:ascii="Avenir Next" w:hAnsi="Avenir Next" w:cs="Avenir Next" w:eastAsia="Avenir Next"/>
          <w:b/>
          <w:color w:val="003A70"/>
          <w:sz w:val="18"/>
          <w:szCs w:val="18"/>
        </w:rPr>
        <w:t xml:space="preserve">2</w:t>
      </w:r>
      <w:r>
        <w:rPr>
          <w:rFonts w:ascii="Avenir Next" w:hAnsi="Avenir Next" w:cs="Avenir Next" w:eastAsia="Avenir Next"/>
          <w:color w:val="1A1A1A"/>
          <w:sz w:val="18"/>
          <w:szCs w:val="18"/>
        </w:rPr>
        <w:tab/>
      </w:r>
      <w:r>
        <w:rPr>
          <w:rFonts w:ascii="Avenir Next" w:hAnsi="Avenir Next" w:cs="Avenir Next" w:eastAsia="Avenir Next"/>
          <w:color w:val="1A1A1A"/>
          <w:sz w:val="18"/>
          <w:szCs w:val="18"/>
        </w:rPr>
        <w:t xml:space="preserve">Fill in the benchmarks: 25% = </w:t>
      </w:r>
      <w:r>
        <w:rPr>
          <w:rFonts w:ascii="Avenir Next" w:hAnsi="Avenir Next" w:cs="Avenir Next" w:eastAsia="Avenir Next"/>
          <w:color w:val="1A1A1A"/>
          <w:sz w:val="18"/>
          <w:szCs w:val="18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8"/>
          <w:szCs w:val="18"/>
        </w:rPr>
        <w:t xml:space="preserve">, 50% = </w:t>
      </w:r>
      <w:r>
        <w:rPr>
          <w:rFonts w:ascii="Avenir Next" w:hAnsi="Avenir Next" w:cs="Avenir Next" w:eastAsia="Avenir Next"/>
          <w:color w:val="1A1A1A"/>
          <w:sz w:val="18"/>
          <w:szCs w:val="18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8"/>
          <w:szCs w:val="18"/>
        </w:rPr>
        <w:t xml:space="preserve">, 75% = </w:t>
      </w:r>
      <w:r>
        <w:rPr>
          <w:rFonts w:ascii="Avenir Next" w:hAnsi="Avenir Next" w:cs="Avenir Next" w:eastAsia="Avenir Next"/>
          <w:color w:val="1A1A1A"/>
          <w:sz w:val="18"/>
          <w:szCs w:val="18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8"/>
          <w:szCs w:val="18"/>
        </w:rPr>
        <w:t xml:space="preserve">.</w:t>
      </w:r>
    </w:p>
    <w:p>
      <w:pPr>
        <w:tabs>
          <w:tab w:val="left" w:pos="300"/>
        </w:tabs>
        <w:spacing w:before="0" w:after="30" w:line="252" w:lineRule="auto"/>
        <w:ind w:left="300" w:hanging="300"/>
      </w:pPr>
      <w:r>
        <w:rPr>
          <w:rFonts w:ascii="Avenir Next" w:hAnsi="Avenir Next" w:cs="Avenir Next" w:eastAsia="Avenir Next"/>
          <w:b/>
          <w:color w:val="003A70"/>
          <w:sz w:val="18"/>
          <w:szCs w:val="18"/>
        </w:rPr>
        <w:t xml:space="preserve">3</w:t>
      </w:r>
      <w:r>
        <w:rPr>
          <w:rFonts w:ascii="Avenir Next" w:hAnsi="Avenir Next" w:cs="Avenir Next" w:eastAsia="Avenir Next"/>
          <w:color w:val="1A1A1A"/>
          <w:sz w:val="18"/>
          <w:szCs w:val="18"/>
        </w:rPr>
        <w:tab/>
      </w:r>
      <w:r>
        <w:rPr>
          <w:rFonts w:ascii="Avenir Next" w:hAnsi="Avenir Next" w:cs="Avenir Next" w:eastAsia="Avenir Next"/>
          <w:color w:val="1A1A1A"/>
          <w:sz w:val="18"/>
          <w:szCs w:val="18"/>
        </w:rPr>
        <w:t xml:space="preserve">Which benchmark is 82 closest to?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  <w:outlineLvl w:val="1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3 · SAY IT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tell a partner</w:t>
      </w:r>
    </w:p>
    <w:p>
      <w:pPr>
        <w:spacing w:before="0" w:after="50" w:line="268" w:lineRule="auto"/>
      </w:pPr>
      <w:r>
        <w:rPr>
          <w:rFonts w:ascii="Avenir Next" w:hAnsi="Avenir Next" w:cs="Avenir Next" w:eastAsia="Avenir Next"/>
          <w:i/>
          <w:color w:val="1A1A1A"/>
          <w:sz w:val="19"/>
          <w:szCs w:val="19"/>
        </w:rPr>
        <w:t xml:space="preserve">Partner A: “The whole is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i/>
          <w:color w:val="1A1A1A"/>
          <w:sz w:val="19"/>
          <w:szCs w:val="19"/>
        </w:rPr>
        <w:t xml:space="preserve">. The part is close to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i/>
          <w:color w:val="1A1A1A"/>
          <w:sz w:val="19"/>
          <w:szCs w:val="19"/>
        </w:rPr>
        <w:t xml:space="preserve">, which is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i/>
          <w:color w:val="1A1A1A"/>
          <w:sz w:val="19"/>
          <w:szCs w:val="19"/>
        </w:rPr>
        <w:t xml:space="preserve">% of the whole.” Partner B: “How do you know it is closer to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i/>
          <w:color w:val="1A1A1A"/>
          <w:sz w:val="19"/>
          <w:szCs w:val="19"/>
        </w:rPr>
        <w:t xml:space="preserve">% than to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i/>
          <w:color w:val="1A1A1A"/>
          <w:sz w:val="19"/>
          <w:szCs w:val="19"/>
        </w:rPr>
        <w:t xml:space="preserve">%?”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  <w:outlineLvl w:val="1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4 · WRITE IT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pick a starter · name the whole · use units</w:t>
      </w:r>
    </w:p>
    <w:p>
      <w:pPr>
        <w:spacing w:before="20" w:after="4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 BANK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about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benchmark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close to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between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the whole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estimate</w:t>
      </w:r>
    </w:p>
    <w:p>
      <w:pPr>
        <w:spacing w:before="40" w:after="10" w:line="264" w:lineRule="auto"/>
        <w:ind w:left="432"/>
      </w:pPr>
      <w:r>
        <w:rPr>
          <w:rFonts w:ascii="Avenir Next" w:hAnsi="Avenir Next" w:cs="Avenir Next" w:eastAsia="Avenir Next"/>
          <w:b/>
          <w:color w:val="003A70"/>
          <w:sz w:val="19"/>
          <w:szCs w:val="19"/>
        </w:rPr>
        <w:t xml:space="preserve">Because  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I know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 out of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 is about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% because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% of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 is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.</w:t>
      </w:r>
    </w:p>
    <w:p>
      <w:pPr>
        <w:spacing w:before="40" w:after="10" w:line="264" w:lineRule="auto"/>
        <w:ind w:left="432"/>
      </w:pPr>
      <w:r>
        <w:rPr>
          <w:rFonts w:ascii="Avenir Next" w:hAnsi="Avenir Next" w:cs="Avenir Next" w:eastAsia="Avenir Next"/>
          <w:b/>
          <w:color w:val="003A70"/>
          <w:sz w:val="19"/>
          <w:szCs w:val="19"/>
        </w:rPr>
        <w:t xml:space="preserve">But  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Some students think 82 out of 120 is 82%, but the whole is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, so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.</w:t>
      </w:r>
    </w:p>
    <w:p>
      <w:pPr>
        <w:spacing w:before="40" w:after="10" w:line="264" w:lineRule="auto"/>
        <w:ind w:left="432"/>
      </w:pPr>
      <w:r>
        <w:rPr>
          <w:rFonts w:ascii="Avenir Next" w:hAnsi="Avenir Next" w:cs="Avenir Next" w:eastAsia="Avenir Next"/>
          <w:b/>
          <w:color w:val="003A70"/>
          <w:sz w:val="19"/>
          <w:szCs w:val="19"/>
        </w:rPr>
        <w:t xml:space="preserve">So 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 is between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 and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, so the percent is between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% and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%.</w:t>
      </w:r>
    </w:p>
    <w:tbl>
      <w:tblPr>
        <w:tblInd w:w="432" w:type="dxa"/>
        <w:tblW w:w="9072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072"/>
      </w:tblGrid>
      <w:tr>
        <w:trPr>
          <w:cantSplit/>
          <w:trHeight w:val="400" w:hRule="atLeast"/>
        </w:trPr>
        <w:tc>
          <w:tcPr>
            <w:tcW w:w="9072" w:type="dxa"/>
            <w:tcBorders>
              <w:bottom w:val="single" w:sz="4" w:space="0" w:color="000000"/>
            </w:tcBorders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00" w:hRule="atLeast"/>
        </w:trPr>
        <w:tc>
          <w:tcPr>
            <w:tcW w:w="9072" w:type="dxa"/>
            <w:tcBorders>
              <w:bottom w:val="single" w:sz="4" w:space="0" w:color="000000"/>
            </w:tcBorders>
            <w:vAlign w:val="top"/>
          </w:tcPr>
          <w:p>
            <w:pPr>
              <w:spacing w:before="0" w:after="0" w:line="240" w:lineRule="auto"/>
            </w:pPr>
          </w:p>
        </w:tc>
      </w:tr>
    </w:tbl>
    <w:p>
      <w:pPr>
        <w:pageBreakBefore/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4-3  ·  Session 2  ·  Explain Your Thinking</w:t>
      </w:r>
    </w:p>
    <w:p>
      <w:pPr>
        <w:keepNext/>
        <w:spacing w:before="0" w:after="10" w:line="240" w:lineRule="auto"/>
        <w:outlineLvl w:val="0"/>
      </w:pPr>
      <w:r>
        <w:rPr>
          <w:rFonts w:ascii="Avenir Next" w:hAnsi="Avenir Next" w:cs="Avenir Next" w:eastAsia="Avenir Next"/>
          <w:b/>
          <w:color w:val="1A1A1A"/>
          <w:sz w:val="32"/>
          <w:szCs w:val="32"/>
        </w:rPr>
        <w:t xml:space="preserve">Estimate a Percent of a Number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Study the model. Then solve your own problem the same way. Use only the help you need.</w:t>
      </w:r>
    </w:p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8"/>
          <w:szCs w:val="18"/>
        </w:rPr>
        <w:t xml:space="preserve">estimate</w:t>
      </w:r>
      <w:r>
        <w:rPr>
          <w:rFonts w:ascii="Avenir Next" w:hAnsi="Avenir Next" w:cs="Avenir Next" w:eastAsia="Avenir Next"/>
          <w:i/>
          <w:color w:val="5A5F66"/>
          <w:sz w:val="18"/>
          <w:szCs w:val="18"/>
        </w:rPr>
        <w:t xml:space="preserve"> (estimación)</w:t>
      </w:r>
      <w:r>
        <w:rPr>
          <w:rFonts w:ascii="Avenir Next" w:hAnsi="Avenir Next" w:cs="Avenir Next" w:eastAsia="Avenir Next"/>
          <w:color w:val="5A5F66"/>
          <w:sz w:val="18"/>
          <w:szCs w:val="18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8"/>
          <w:szCs w:val="18"/>
        </w:rPr>
        <w:t xml:space="preserve">compatible (friendly) numbers</w:t>
      </w:r>
      <w:r>
        <w:rPr>
          <w:rFonts w:ascii="Avenir Next" w:hAnsi="Avenir Next" w:cs="Avenir Next" w:eastAsia="Avenir Next"/>
          <w:i/>
          <w:color w:val="5A5F66"/>
          <w:sz w:val="18"/>
          <w:szCs w:val="18"/>
        </w:rPr>
        <w:t xml:space="preserve"> (números compatibles)</w:t>
      </w:r>
      <w:r>
        <w:rPr>
          <w:rFonts w:ascii="Avenir Next" w:hAnsi="Avenir Next" w:cs="Avenir Next" w:eastAsia="Avenir Next"/>
          <w:color w:val="5A5F66"/>
          <w:sz w:val="18"/>
          <w:szCs w:val="18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8"/>
          <w:szCs w:val="18"/>
        </w:rPr>
        <w:t xml:space="preserve">ten percent</w:t>
      </w:r>
      <w:r>
        <w:rPr>
          <w:rFonts w:ascii="Avenir Next" w:hAnsi="Avenir Next" w:cs="Avenir Next" w:eastAsia="Avenir Next"/>
          <w:i/>
          <w:color w:val="5A5F66"/>
          <w:sz w:val="18"/>
          <w:szCs w:val="18"/>
        </w:rPr>
        <w:t xml:space="preserve"> (diez por ciento)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  <w:outlineLvl w:val="1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1 · SEE A MODEL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read it with a partner</w:t>
      </w: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20" w:type="dxa"/>
          <w:right w:w="15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SEE A MODEL</w:t>
            </w:r>
            <w:r>
              <w:rPr>
                <w:rFonts w:ascii="Avenir Next" w:hAnsi="Avenir Next" w:cs="Avenir Next" w:eastAsia="Avenir Next"/>
                <w:i/>
                <w:color w:val="5A5F66"/>
                <w:sz w:val="15"/>
                <w:szCs w:val="15"/>
              </w:rPr>
              <w:t xml:space="preserve">   a problem like yours, solved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school has 396 students. About 24% walk to school. Estimate the number of students who walk, two ways.</w:t>
            </w:r>
          </w:p>
          <w:p>
            <w:pPr>
              <w:spacing w:before="0" w:after="20" w:line="264" w:lineRule="auto"/>
              <w:jc w:val="center"/>
            </w:pPr>
            <w:r>
              <w:drawing>
                <wp:inline distT="0" distB="0" distL="0" distR="0">
                  <wp:extent cx="3299155" cy="712317"/>
                  <wp:docPr id="3" name="Figure 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3.png"/>
                          <pic:cNvPicPr/>
                        </pic:nvPicPr>
                        <pic:blipFill>
                          <a:blip r:embed="rIdImg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9155" cy="7123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2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5300"/>
        <w:gridCol w:w="4204"/>
      </w:tblGrid>
      <w:tr>
        <w:trPr>
          <w:cantSplit/>
        </w:trPr>
        <w:tc>
          <w:tcPr>
            <w:tcW w:w="5300" w:type="dxa"/>
            <w:shd w:val="clear" w:color="auto" w:fill="F2F4F6"/>
            <w:vAlign w:val="top"/>
          </w:tcPr>
          <w:p>
            <w:pPr>
              <w:spacing w:before="0" w:after="3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4"/>
                <w:szCs w:val="14"/>
              </w:rPr>
              <w:t xml:space="preserve">HOW I SOLVED IT</w:t>
            </w:r>
          </w:p>
          <w:p>
            <w:pPr>
              <w:tabs>
                <w:tab w:val="left" w:pos="300"/>
              </w:tabs>
              <w:spacing w:before="0" w:after="30" w:line="252" w:lineRule="auto"/>
              <w:ind w:left="300" w:hanging="3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Way 1.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396 ≈ 400 and 24% ≈ 25%. 25% is 1/4, so 400 ÷ 4 = </w:t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about 100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.</w:t>
            </w:r>
          </w:p>
          <w:p>
            <w:pPr>
              <w:tabs>
                <w:tab w:val="left" w:pos="300"/>
              </w:tabs>
              <w:spacing w:before="0" w:after="30" w:line="252" w:lineRule="auto"/>
              <w:ind w:left="300" w:hanging="3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Way 2.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396 ≈ 400 and 24% ≈ 20%. 10% of 400 = 40, so 20% = </w:t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about 80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.</w:t>
            </w:r>
          </w:p>
          <w:p>
            <w:pPr>
              <w:tabs>
                <w:tab w:val="left" w:pos="300"/>
              </w:tabs>
              <w:spacing w:before="0" w:after="30" w:line="252" w:lineRule="auto"/>
              <w:ind w:left="300" w:hanging="3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Compare.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24% is much closer to 25% than to 20%, so </w:t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100 is the better estimate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.</w:t>
            </w:r>
          </w:p>
        </w:tc>
        <w:tc>
          <w:tcPr>
            <w:tcW w:w="4204" w:type="dxa"/>
            <w:shd w:val="clear" w:color="auto" w:fill="F2F4F6"/>
            <w:vAlign w:val="top"/>
          </w:tcPr>
          <w:p>
            <w:pPr>
              <w:spacing w:before="0" w:after="2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4"/>
                <w:szCs w:val="14"/>
              </w:rPr>
              <w:t xml:space="preserve">I SAY</w:t>
            </w:r>
          </w:p>
          <w:p>
            <w:pPr>
              <w:spacing w:before="0" w:after="60" w:line="252" w:lineRule="auto"/>
            </w:pP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“I used </w:t>
            </w:r>
            <w:r>
              <w:rPr>
                <w:rFonts w:ascii="Avenir Next" w:hAnsi="Avenir Next" w:cs="Avenir Next" w:eastAsia="Avenir Next"/>
                <w:b/>
                <w:i/>
                <w:color w:val="1A1A1A"/>
                <w:sz w:val="17"/>
                <w:szCs w:val="17"/>
              </w:rPr>
              <w:t xml:space="preserve">25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% of </w:t>
            </w:r>
            <w:r>
              <w:rPr>
                <w:rFonts w:ascii="Avenir Next" w:hAnsi="Avenir Next" w:cs="Avenir Next" w:eastAsia="Avenir Next"/>
                <w:b/>
                <w:i/>
                <w:color w:val="1A1A1A"/>
                <w:sz w:val="17"/>
                <w:szCs w:val="17"/>
              </w:rPr>
              <w:t xml:space="preserve">400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 because </w:t>
            </w:r>
            <w:r>
              <w:rPr>
                <w:rFonts w:ascii="Avenir Next" w:hAnsi="Avenir Next" w:cs="Avenir Next" w:eastAsia="Avenir Next"/>
                <w:b/>
                <w:i/>
                <w:color w:val="1A1A1A"/>
                <w:sz w:val="17"/>
                <w:szCs w:val="17"/>
              </w:rPr>
              <w:t xml:space="preserve">400 is easy to divide by 4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.” “I used </w:t>
            </w:r>
            <w:r>
              <w:rPr>
                <w:rFonts w:ascii="Avenir Next" w:hAnsi="Avenir Next" w:cs="Avenir Next" w:eastAsia="Avenir Next"/>
                <w:b/>
                <w:i/>
                <w:color w:val="1A1A1A"/>
                <w:sz w:val="17"/>
                <w:szCs w:val="17"/>
              </w:rPr>
              <w:t xml:space="preserve">20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% of </w:t>
            </w:r>
            <w:r>
              <w:rPr>
                <w:rFonts w:ascii="Avenir Next" w:hAnsi="Avenir Next" w:cs="Avenir Next" w:eastAsia="Avenir Next"/>
                <w:b/>
                <w:i/>
                <w:color w:val="1A1A1A"/>
                <w:sz w:val="17"/>
                <w:szCs w:val="17"/>
              </w:rPr>
              <w:t xml:space="preserve">400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. Our estimates are different because </w:t>
            </w:r>
            <w:r>
              <w:rPr>
                <w:rFonts w:ascii="Avenir Next" w:hAnsi="Avenir Next" w:cs="Avenir Next" w:eastAsia="Avenir Next"/>
                <w:b/>
                <w:i/>
                <w:color w:val="1A1A1A"/>
                <w:sz w:val="17"/>
                <w:szCs w:val="17"/>
              </w:rPr>
              <w:t xml:space="preserve">we rounded the percent differently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.”</w:t>
            </w:r>
          </w:p>
          <w:p>
            <w:pPr>
              <w:spacing w:before="0" w:after="2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4"/>
                <w:szCs w:val="14"/>
              </w:rPr>
              <w:t xml:space="preserve">I WRITE</w:t>
            </w:r>
          </w:p>
          <w:p>
            <w:pPr>
              <w:spacing w:before="0" w:after="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I rounded </w:t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396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to </w:t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400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because </w:t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400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is easy to divide by </w:t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4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. 24% is close to 25%, so </w:t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about 100 students walk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.</w:t>
            </w:r>
          </w:p>
        </w:tc>
      </w:tr>
    </w:tbl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  <w:outlineLvl w:val="1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2 · DRAW IT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your turn: label the whole, the part and the percent</w:t>
      </w:r>
    </w:p>
    <w:p>
      <w:pPr>
        <w:keepNext/>
        <w:spacing w:before="0" w:after="50" w:line="268" w:lineRule="auto"/>
      </w:pP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A theater sold 588 tickets. About 26% were for kids. Estimate the number of kids’ tickets two ways, using different compatible (friendly) numbers.</w:t>
      </w:r>
    </w:p>
    <w:p>
      <w:pPr>
        <w:keepNext/>
        <w:spacing w:before="20" w:after="40" w:line="264" w:lineRule="auto"/>
        <w:jc w:val="center"/>
      </w:pPr>
      <w:r>
        <w:drawing>
          <wp:inline distT="0" distB="0" distL="0" distR="0">
            <wp:extent cx="3419856" cy="738378"/>
            <wp:docPr id="4" name="Fig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3419856" cy="738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spacing w:before="0" w:after="20" w:line="264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4"/>
          <w:szCs w:val="14"/>
        </w:rPr>
        <w:t xml:space="preserve">TRY THESE STEPS</w:t>
      </w:r>
      <w:r>
        <w:rPr>
          <w:rFonts w:ascii="Avenir Next" w:hAnsi="Avenir Next" w:cs="Avenir Next" w:eastAsia="Avenir Next"/>
          <w:i/>
          <w:color w:val="5A5F66"/>
          <w:sz w:val="14"/>
          <w:szCs w:val="14"/>
        </w:rPr>
        <w:t xml:space="preserve">   fill in the blanks as you work</w:t>
      </w:r>
    </w:p>
    <w:p>
      <w:pPr>
        <w:tabs>
          <w:tab w:val="left" w:pos="300"/>
        </w:tabs>
        <w:spacing w:before="0" w:after="30" w:line="252" w:lineRule="auto"/>
        <w:ind w:left="300" w:hanging="300"/>
      </w:pPr>
      <w:r>
        <w:rPr>
          <w:rFonts w:ascii="Avenir Next" w:hAnsi="Avenir Next" w:cs="Avenir Next" w:eastAsia="Avenir Next"/>
          <w:b/>
          <w:color w:val="003A70"/>
          <w:sz w:val="18"/>
          <w:szCs w:val="18"/>
        </w:rPr>
        <w:t xml:space="preserve">1</w:t>
      </w:r>
      <w:r>
        <w:rPr>
          <w:rFonts w:ascii="Avenir Next" w:hAnsi="Avenir Next" w:cs="Avenir Next" w:eastAsia="Avenir Next"/>
          <w:color w:val="1A1A1A"/>
          <w:sz w:val="18"/>
          <w:szCs w:val="18"/>
        </w:rPr>
        <w:tab/>
      </w:r>
      <w:r>
        <w:rPr>
          <w:rFonts w:ascii="Avenir Next" w:hAnsi="Avenir Next" w:cs="Avenir Next" w:eastAsia="Avenir Next"/>
          <w:color w:val="1A1A1A"/>
          <w:sz w:val="18"/>
          <w:szCs w:val="18"/>
        </w:rPr>
        <w:t xml:space="preserve">Way 1: round 588 to </w:t>
      </w:r>
      <w:r>
        <w:rPr>
          <w:rFonts w:ascii="Avenir Next" w:hAnsi="Avenir Next" w:cs="Avenir Next" w:eastAsia="Avenir Next"/>
          <w:color w:val="1A1A1A"/>
          <w:sz w:val="18"/>
          <w:szCs w:val="18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8"/>
          <w:szCs w:val="18"/>
        </w:rPr>
        <w:t xml:space="preserve"> and 26% to </w:t>
      </w:r>
      <w:r>
        <w:rPr>
          <w:rFonts w:ascii="Avenir Next" w:hAnsi="Avenir Next" w:cs="Avenir Next" w:eastAsia="Avenir Next"/>
          <w:color w:val="1A1A1A"/>
          <w:sz w:val="18"/>
          <w:szCs w:val="18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8"/>
          <w:szCs w:val="18"/>
        </w:rPr>
        <w:t xml:space="preserve">%.</w:t>
      </w:r>
    </w:p>
    <w:p>
      <w:pPr>
        <w:tabs>
          <w:tab w:val="left" w:pos="300"/>
        </w:tabs>
        <w:spacing w:before="0" w:after="30" w:line="252" w:lineRule="auto"/>
        <w:ind w:left="300" w:hanging="300"/>
      </w:pPr>
      <w:r>
        <w:rPr>
          <w:rFonts w:ascii="Avenir Next" w:hAnsi="Avenir Next" w:cs="Avenir Next" w:eastAsia="Avenir Next"/>
          <w:b/>
          <w:color w:val="003A70"/>
          <w:sz w:val="18"/>
          <w:szCs w:val="18"/>
        </w:rPr>
        <w:t xml:space="preserve">2</w:t>
      </w:r>
      <w:r>
        <w:rPr>
          <w:rFonts w:ascii="Avenir Next" w:hAnsi="Avenir Next" w:cs="Avenir Next" w:eastAsia="Avenir Next"/>
          <w:color w:val="1A1A1A"/>
          <w:sz w:val="18"/>
          <w:szCs w:val="18"/>
        </w:rPr>
        <w:tab/>
      </w:r>
      <w:r>
        <w:rPr>
          <w:rFonts w:ascii="Avenir Next" w:hAnsi="Avenir Next" w:cs="Avenir Next" w:eastAsia="Avenir Next"/>
          <w:color w:val="1A1A1A"/>
          <w:sz w:val="18"/>
          <w:szCs w:val="18"/>
        </w:rPr>
        <w:t xml:space="preserve">Way 2: round 588 to a different friendly number: </w:t>
      </w:r>
      <w:r>
        <w:rPr>
          <w:rFonts w:ascii="Avenir Next" w:hAnsi="Avenir Next" w:cs="Avenir Next" w:eastAsia="Avenir Next"/>
          <w:color w:val="1A1A1A"/>
          <w:sz w:val="18"/>
          <w:szCs w:val="18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8"/>
          <w:szCs w:val="18"/>
        </w:rPr>
        <w:t xml:space="preserve">.</w:t>
      </w:r>
    </w:p>
    <w:p>
      <w:pPr>
        <w:tabs>
          <w:tab w:val="left" w:pos="300"/>
        </w:tabs>
        <w:spacing w:before="0" w:after="30" w:line="252" w:lineRule="auto"/>
        <w:ind w:left="300" w:hanging="300"/>
      </w:pPr>
      <w:r>
        <w:rPr>
          <w:rFonts w:ascii="Avenir Next" w:hAnsi="Avenir Next" w:cs="Avenir Next" w:eastAsia="Avenir Next"/>
          <w:b/>
          <w:color w:val="003A70"/>
          <w:sz w:val="18"/>
          <w:szCs w:val="18"/>
        </w:rPr>
        <w:t xml:space="preserve">3</w:t>
      </w:r>
      <w:r>
        <w:rPr>
          <w:rFonts w:ascii="Avenir Next" w:hAnsi="Avenir Next" w:cs="Avenir Next" w:eastAsia="Avenir Next"/>
          <w:color w:val="1A1A1A"/>
          <w:sz w:val="18"/>
          <w:szCs w:val="18"/>
        </w:rPr>
        <w:tab/>
      </w:r>
      <w:r>
        <w:rPr>
          <w:rFonts w:ascii="Avenir Next" w:hAnsi="Avenir Next" w:cs="Avenir Next" w:eastAsia="Avenir Next"/>
          <w:color w:val="1A1A1A"/>
          <w:sz w:val="18"/>
          <w:szCs w:val="18"/>
        </w:rPr>
        <w:t xml:space="preserve">Which estimate is closer? Why?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  <w:outlineLvl w:val="1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3 · SAY IT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tell a partner</w:t>
      </w:r>
    </w:p>
    <w:p>
      <w:pPr>
        <w:spacing w:before="0" w:after="50" w:line="268" w:lineRule="auto"/>
      </w:pPr>
      <w:r>
        <w:rPr>
          <w:rFonts w:ascii="Avenir Next" w:hAnsi="Avenir Next" w:cs="Avenir Next" w:eastAsia="Avenir Next"/>
          <w:i/>
          <w:color w:val="1A1A1A"/>
          <w:sz w:val="19"/>
          <w:szCs w:val="19"/>
        </w:rPr>
        <w:t xml:space="preserve">Partner A: “I used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i/>
          <w:color w:val="1A1A1A"/>
          <w:sz w:val="19"/>
          <w:szCs w:val="19"/>
        </w:rPr>
        <w:t xml:space="preserve">% of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i/>
          <w:color w:val="1A1A1A"/>
          <w:sz w:val="19"/>
          <w:szCs w:val="19"/>
        </w:rPr>
        <w:t xml:space="preserve"> because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i/>
          <w:color w:val="1A1A1A"/>
          <w:sz w:val="19"/>
          <w:szCs w:val="19"/>
        </w:rPr>
        <w:t xml:space="preserve">.” Partner B: “I used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i/>
          <w:color w:val="1A1A1A"/>
          <w:sz w:val="19"/>
          <w:szCs w:val="19"/>
        </w:rPr>
        <w:t xml:space="preserve">% of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i/>
          <w:color w:val="1A1A1A"/>
          <w:sz w:val="19"/>
          <w:szCs w:val="19"/>
        </w:rPr>
        <w:t xml:space="preserve">. Our estimates are different because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i/>
          <w:color w:val="1A1A1A"/>
          <w:sz w:val="19"/>
          <w:szCs w:val="19"/>
        </w:rPr>
        <w:t xml:space="preserve">.”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  <w:outlineLvl w:val="1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4 · WRITE IT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pick a starter · name the whole · use units</w:t>
      </w:r>
    </w:p>
    <w:p>
      <w:pPr>
        <w:spacing w:before="20" w:after="4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 BANK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round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compatible (friendly) number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about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estimate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closer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divide by 4</w:t>
      </w:r>
    </w:p>
    <w:p>
      <w:pPr>
        <w:spacing w:before="40" w:after="10" w:line="264" w:lineRule="auto"/>
        <w:ind w:left="432"/>
      </w:pPr>
      <w:r>
        <w:rPr>
          <w:rFonts w:ascii="Avenir Next" w:hAnsi="Avenir Next" w:cs="Avenir Next" w:eastAsia="Avenir Next"/>
          <w:b/>
          <w:color w:val="003A70"/>
          <w:sz w:val="19"/>
          <w:szCs w:val="19"/>
        </w:rPr>
        <w:t xml:space="preserve">Because  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I rounded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 to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 because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 is easy to divide by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.</w:t>
      </w:r>
    </w:p>
    <w:p>
      <w:pPr>
        <w:spacing w:before="40" w:after="10" w:line="264" w:lineRule="auto"/>
        <w:ind w:left="432"/>
      </w:pPr>
      <w:r>
        <w:rPr>
          <w:rFonts w:ascii="Avenir Next" w:hAnsi="Avenir Next" w:cs="Avenir Next" w:eastAsia="Avenir Next"/>
          <w:b/>
          <w:color w:val="003A70"/>
          <w:sz w:val="19"/>
          <w:szCs w:val="19"/>
        </w:rPr>
        <w:t xml:space="preserve">But  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Some students think only one estimate is right, but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 and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 are both close because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.</w:t>
      </w:r>
    </w:p>
    <w:p>
      <w:pPr>
        <w:spacing w:before="40" w:after="10" w:line="264" w:lineRule="auto"/>
        <w:ind w:left="432"/>
      </w:pPr>
      <w:r>
        <w:rPr>
          <w:rFonts w:ascii="Avenir Next" w:hAnsi="Avenir Next" w:cs="Avenir Next" w:eastAsia="Avenir Next"/>
          <w:b/>
          <w:color w:val="003A70"/>
          <w:sz w:val="19"/>
          <w:szCs w:val="19"/>
        </w:rPr>
        <w:t xml:space="preserve">So  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I rounded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 up, so my estimate is a little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.</w:t>
      </w:r>
    </w:p>
    <w:tbl>
      <w:tblPr>
        <w:tblInd w:w="432" w:type="dxa"/>
        <w:tblW w:w="9072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072"/>
      </w:tblGrid>
      <w:tr>
        <w:trPr>
          <w:cantSplit/>
          <w:trHeight w:val="400" w:hRule="atLeast"/>
        </w:trPr>
        <w:tc>
          <w:tcPr>
            <w:tcW w:w="9072" w:type="dxa"/>
            <w:tcBorders>
              <w:bottom w:val="single" w:sz="4" w:space="0" w:color="000000"/>
            </w:tcBorders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00" w:hRule="atLeast"/>
        </w:trPr>
        <w:tc>
          <w:tcPr>
            <w:tcW w:w="9072" w:type="dxa"/>
            <w:tcBorders>
              <w:bottom w:val="single" w:sz="4" w:space="0" w:color="000000"/>
            </w:tcBorders>
            <w:vAlign w:val="top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4: Working with Percents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4-3  ·  Explain Your Thinking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4-3 Explain Your Thinking</dc:title>
  <dc:subject>Estimate with Benchmarks</dc:subject>
  <dc:creator>Neft Teacher</dc:creator>
  <dcterms:created xsi:type="dcterms:W3CDTF">2026-10-08T14:55:06Z</dcterms:created>
  <dcterms:modified xsi:type="dcterms:W3CDTF">2026-10-08T14:55:06Z</dcterms:modified>
</cp:coreProperties>
</file>