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4  ·  LESSON 7      STANDARD 6.RP.3B</w:t>
      </w:r>
    </w:p>
    <w:p>
      <w:pPr>
        <w:pStyle w:val="Title"/>
        <w:spacing w:after="40"/>
      </w:pPr>
      <w:r>
        <w:rPr>
          <w:b/>
          <w:bCs/>
          <w:color w:val="12355B"/>
          <w:sz w:val="44"/>
          <w:szCs w:val="44"/>
        </w:rPr>
        <w:t xml:space="preserve">Solve Problems with Unit Rates</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solve real-world problems by using unit rates to compare options.</w:t>
            </w:r>
          </w:p>
          <w:p>
            <w:pPr>
              <w:spacing w:after="0"/>
            </w:pPr>
            <w:r>
              <w:rPr>
                <w:b/>
                <w:bCs/>
                <w:color w:val="B97A12"/>
                <w:sz w:val="20"/>
                <w:szCs w:val="20"/>
              </w:rPr>
              <w:t xml:space="preserve">Language:  </w:t>
            </w:r>
            <w:r>
              <w:rPr>
                <w:sz w:val="20"/>
                <w:szCs w:val="20"/>
              </w:rPr>
              <w:t xml:space="preserve">I can explain my comparison using the words unit rate, better buy, per unit, and rate.</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Unit Rate</w:t>
            </w:r>
            <w:r>
              <w:rPr>
                <w:i/>
                <w:iCs/>
                <w:color w:val="5F6F80"/>
                <w:sz w:val="19"/>
                <w:szCs w:val="19"/>
              </w:rPr>
              <w:t xml:space="preserve">   Tasa unitaria</w:t>
            </w:r>
          </w:p>
          <w:p>
            <w:pPr>
              <w:spacing w:after="40"/>
            </w:pPr>
            <w:r>
              <w:rPr>
                <w:sz w:val="21"/>
                <w:szCs w:val="21"/>
              </w:rPr>
              <w:t xml:space="preserve">A rate for just 1 of something, like cost for 1 item.</w:t>
            </w:r>
          </w:p>
          <w:p>
            <w:pPr>
              <w:spacing w:after="0"/>
            </w:pPr>
            <w:r>
              <w:rPr>
                <w:b/>
                <w:bCs/>
                <w:color w:val="1FA6A2"/>
                <w:sz w:val="18"/>
                <w:szCs w:val="18"/>
              </w:rPr>
              <w:t xml:space="preserve">Example:  </w:t>
            </w:r>
            <w:r>
              <w:rPr>
                <w:i/>
                <w:iCs/>
                <w:color w:val="5F6F80"/>
                <w:sz w:val="18"/>
                <w:szCs w:val="18"/>
              </w:rPr>
              <w:t xml:space="preserve">$2.50 per pound means $2.50 for every 1 pound</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Better Buy</w:t>
            </w:r>
            <w:r>
              <w:rPr>
                <w:i/>
                <w:iCs/>
                <w:color w:val="5F6F80"/>
                <w:sz w:val="19"/>
                <w:szCs w:val="19"/>
              </w:rPr>
              <w:t xml:space="preserve">   Mejor compra</w:t>
            </w:r>
          </w:p>
          <w:p>
            <w:pPr>
              <w:spacing w:after="40"/>
            </w:pPr>
            <w:r>
              <w:rPr>
                <w:sz w:val="21"/>
                <w:szCs w:val="21"/>
              </w:rPr>
              <w:t xml:space="preserve">The choice that costs less for each item.</w:t>
            </w:r>
          </w:p>
          <w:p>
            <w:pPr>
              <w:spacing w:after="0"/>
            </w:pPr>
            <w:r>
              <w:rPr>
                <w:b/>
                <w:bCs/>
                <w:color w:val="1FA6A2"/>
                <w:sz w:val="18"/>
                <w:szCs w:val="18"/>
              </w:rPr>
              <w:t xml:space="preserve">Example:  </w:t>
            </w:r>
            <w:r>
              <w:rPr>
                <w:i/>
                <w:iCs/>
                <w:color w:val="5F6F80"/>
                <w:sz w:val="18"/>
                <w:szCs w:val="18"/>
              </w:rPr>
              <w:t xml:space="preserve">$0.10 each vs $0.15 each — the $0.10 option is the better buy</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Comparison</w:t>
            </w:r>
            <w:r>
              <w:rPr>
                <w:i/>
                <w:iCs/>
                <w:color w:val="5F6F80"/>
                <w:sz w:val="19"/>
                <w:szCs w:val="19"/>
              </w:rPr>
              <w:t xml:space="preserve">   Comparación</w:t>
            </w:r>
          </w:p>
          <w:p>
            <w:pPr>
              <w:spacing w:after="40"/>
            </w:pPr>
            <w:r>
              <w:rPr>
                <w:sz w:val="21"/>
                <w:szCs w:val="21"/>
              </w:rPr>
              <w:t xml:space="preserve">Looking at numbers to see which is bigger or smaller.</w:t>
            </w:r>
          </w:p>
          <w:p>
            <w:pPr>
              <w:spacing w:after="0"/>
            </w:pPr>
            <w:r>
              <w:rPr>
                <w:b/>
                <w:bCs/>
                <w:color w:val="1FA6A2"/>
                <w:sz w:val="18"/>
                <w:szCs w:val="18"/>
              </w:rPr>
              <w:t xml:space="preserve">Example:  </w:t>
            </w:r>
            <w:r>
              <w:rPr>
                <w:i/>
                <w:iCs/>
                <w:color w:val="5F6F80"/>
                <w:sz w:val="18"/>
                <w:szCs w:val="18"/>
              </w:rPr>
              <w:t xml:space="preserve">$3 per game &lt; $4 per game</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Per Unit</w:t>
            </w:r>
            <w:r>
              <w:rPr>
                <w:i/>
                <w:iCs/>
                <w:color w:val="5F6F80"/>
                <w:sz w:val="19"/>
                <w:szCs w:val="19"/>
              </w:rPr>
              <w:t xml:space="preserve">   Por unidad</w:t>
            </w:r>
          </w:p>
          <w:p>
            <w:pPr>
              <w:spacing w:after="40"/>
            </w:pPr>
            <w:r>
              <w:rPr>
                <w:sz w:val="21"/>
                <w:szCs w:val="21"/>
              </w:rPr>
              <w:t xml:space="preserve">For each single item.</w:t>
            </w:r>
          </w:p>
          <w:p>
            <w:pPr>
              <w:spacing w:after="0"/>
            </w:pPr>
            <w:r>
              <w:rPr>
                <w:b/>
                <w:bCs/>
                <w:color w:val="1FA6A2"/>
                <w:sz w:val="18"/>
                <w:szCs w:val="18"/>
              </w:rPr>
              <w:t xml:space="preserve">Example:  </w:t>
            </w:r>
            <w:r>
              <w:rPr>
                <w:i/>
                <w:iCs/>
                <w:color w:val="5F6F80"/>
                <w:sz w:val="18"/>
                <w:szCs w:val="18"/>
              </w:rPr>
              <w:t xml:space="preserve">$0.50 per token means each token costs $0.50</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Rate</w:t>
            </w:r>
            <w:r>
              <w:rPr>
                <w:i/>
                <w:iCs/>
                <w:color w:val="5F6F80"/>
                <w:sz w:val="19"/>
                <w:szCs w:val="19"/>
              </w:rPr>
              <w:t xml:space="preserve">   Tasa</w:t>
            </w:r>
          </w:p>
          <w:p>
            <w:pPr>
              <w:spacing w:after="40"/>
            </w:pPr>
            <w:r>
              <w:rPr>
                <w:sz w:val="21"/>
                <w:szCs w:val="21"/>
              </w:rPr>
              <w:t xml:space="preserve">A ratio comparing two amounts with different units, like miles per hour.</w:t>
            </w:r>
          </w:p>
          <w:p>
            <w:pPr>
              <w:spacing w:after="0"/>
            </w:pPr>
            <w:r>
              <w:rPr>
                <w:b/>
                <w:bCs/>
                <w:color w:val="1FA6A2"/>
                <w:sz w:val="18"/>
                <w:szCs w:val="18"/>
              </w:rPr>
              <w:t xml:space="preserve">Example:  </w:t>
            </w:r>
            <w:r>
              <w:rPr>
                <w:i/>
                <w:iCs/>
                <w:color w:val="5F6F80"/>
                <w:sz w:val="18"/>
                <w:szCs w:val="18"/>
              </w:rPr>
              <w:t xml:space="preserve">120 miles in 3 hours is a rate (miles and hours are different units)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Proportion</w:t>
            </w:r>
            <w:r>
              <w:rPr>
                <w:i/>
                <w:iCs/>
                <w:color w:val="5F6F80"/>
                <w:sz w:val="19"/>
                <w:szCs w:val="19"/>
              </w:rPr>
              <w:t xml:space="preserve">   Proporción</w:t>
            </w:r>
          </w:p>
          <w:p>
            <w:pPr>
              <w:spacing w:after="40"/>
            </w:pPr>
            <w:r>
              <w:rPr>
                <w:sz w:val="21"/>
                <w:szCs w:val="21"/>
              </w:rPr>
              <w:t xml:space="preserve">A math sentence saying two ratios are equal. It helps find a missing number.</w:t>
            </w:r>
          </w:p>
          <w:p>
            <w:pPr>
              <w:spacing w:after="0"/>
            </w:pPr>
            <w:r>
              <w:rPr>
                <w:b/>
                <w:bCs/>
                <w:color w:val="1FA6A2"/>
                <w:sz w:val="18"/>
                <w:szCs w:val="18"/>
              </w:rPr>
              <w:t xml:space="preserve">Example:  </w:t>
            </w:r>
            <w:r>
              <w:rPr>
                <w:i/>
                <w:iCs/>
                <w:color w:val="5F6F80"/>
                <w:sz w:val="18"/>
                <w:szCs w:val="18"/>
              </w:rPr>
              <w:t xml:space="preserve">5/3 = x/12 → x = 20</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Unit Rate      •      Better Buy      •      Comparison      •      Per Unit      •      Rate      •      Proportion</w:t>
            </w:r>
          </w:p>
        </w:tc>
      </w:tr>
    </w:tbl>
    <w:p>
      <w:pPr>
        <w:spacing w:after="80"/>
      </w:pPr>
      <w:r>
        <w:t xml:space="preserve"/>
      </w:r>
    </w:p>
    <w:p>
      <w:pPr>
        <w:spacing w:after="120" w:before="80"/>
      </w:pPr>
      <w:r>
        <w:rPr>
          <w:b/>
          <w:bCs/>
          <w:color w:val="12355B"/>
          <w:sz w:val="22"/>
          <w:szCs w:val="22"/>
        </w:rPr>
        <w:t xml:space="preserve">1.  </w:t>
      </w:r>
      <w:r>
        <w:rPr>
          <w:sz w:val="22"/>
          <w:szCs w:val="22"/>
        </w:rPr>
        <w:t xml:space="preserve">A rate that gives the amount for exactly one unit is a ___.</w:t>
      </w:r>
    </w:p>
    <w:p>
      <w:pPr>
        <w:spacing w:after="120" w:before="80"/>
      </w:pPr>
      <w:r>
        <w:rPr>
          <w:b/>
          <w:bCs/>
          <w:color w:val="12355B"/>
          <w:sz w:val="22"/>
          <w:szCs w:val="22"/>
        </w:rPr>
        <w:t xml:space="preserve">2.  </w:t>
      </w:r>
      <w:r>
        <w:rPr>
          <w:sz w:val="22"/>
          <w:szCs w:val="22"/>
        </w:rPr>
        <w:t xml:space="preserve">The option that costs less per item, found by comparing unit rates, is the ___.</w:t>
      </w:r>
    </w:p>
    <w:p>
      <w:pPr>
        <w:spacing w:after="120" w:before="80"/>
      </w:pPr>
      <w:r>
        <w:rPr>
          <w:b/>
          <w:bCs/>
          <w:color w:val="12355B"/>
          <w:sz w:val="22"/>
          <w:szCs w:val="22"/>
        </w:rPr>
        <w:t xml:space="preserve">3.  </w:t>
      </w:r>
      <w:r>
        <w:rPr>
          <w:sz w:val="22"/>
          <w:szCs w:val="22"/>
        </w:rPr>
        <w:t xml:space="preserve">Showing how two amounts relate to each other is a ___.</w:t>
      </w:r>
    </w:p>
    <w:p>
      <w:pPr>
        <w:spacing w:after="120" w:before="80"/>
      </w:pPr>
      <w:r>
        <w:rPr>
          <w:b/>
          <w:bCs/>
          <w:color w:val="12355B"/>
          <w:sz w:val="22"/>
          <w:szCs w:val="22"/>
        </w:rPr>
        <w:t xml:space="preserve">4.  </w:t>
      </w:r>
      <w:r>
        <w:rPr>
          <w:sz w:val="22"/>
          <w:szCs w:val="22"/>
        </w:rPr>
        <w:t xml:space="preserve">The cost or amount for a single item is the cost ___.</w:t>
      </w:r>
    </w:p>
    <w:p>
      <w:pPr>
        <w:spacing w:after="120" w:before="80"/>
      </w:pPr>
      <w:r>
        <w:rPr>
          <w:b/>
          <w:bCs/>
          <w:color w:val="12355B"/>
          <w:sz w:val="22"/>
          <w:szCs w:val="22"/>
        </w:rPr>
        <w:t xml:space="preserve">5.  </w:t>
      </w:r>
      <w:r>
        <w:rPr>
          <w:sz w:val="22"/>
          <w:szCs w:val="22"/>
        </w:rPr>
        <w:t xml:space="preserve">A ratio comparing two quantities with different units is a ___.</w:t>
      </w:r>
    </w:p>
    <w:p>
      <w:pPr>
        <w:spacing w:after="120" w:before="80"/>
      </w:pPr>
      <w:r>
        <w:rPr>
          <w:b/>
          <w:bCs/>
          <w:color w:val="12355B"/>
          <w:sz w:val="22"/>
          <w:szCs w:val="22"/>
        </w:rPr>
        <w:t xml:space="preserve">6.  </w:t>
      </w:r>
      <w:r>
        <w:rPr>
          <w:sz w:val="22"/>
          <w:szCs w:val="22"/>
        </w:rPr>
        <w:t xml:space="preserve">An equation stating that two ratios are equal is a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Arcade Builder Challenge</w:t>
            </w:r>
          </w:p>
          <w:p>
            <w:pPr>
              <w:spacing w:after="0"/>
            </w:pPr>
            <w:r>
              <w:rPr>
                <w:sz w:val="21"/>
                <w:szCs w:val="21"/>
              </w:rPr>
              <w:t xml:space="preserve">You're the new supply manager for the arcade! You need to order tokens, prizes, and snacks from different suppliers. Each supplier offers a different package deal. Your job is to find the unit rate for each deal and figure out which supplier gives you the best value for every item you need to order.</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How can you compare deals when the quantities are different?</w:t>
      </w:r>
    </w:p>
    <w:p>
      <w:pPr>
        <w:spacing w:after="40"/>
        <w:ind w:left="300"/>
      </w:pPr>
      <w:r>
        <w:rPr>
          <w:sz w:val="20"/>
          <w:szCs w:val="20"/>
        </w:rPr>
        <w:t xml:space="preserve">•  What operation helps you find the cost for just one item?</w:t>
      </w:r>
    </w:p>
    <w:p>
      <w:pPr>
        <w:spacing w:after="40"/>
        <w:ind w:left="300"/>
      </w:pPr>
      <w:r>
        <w:rPr>
          <w:sz w:val="20"/>
          <w:szCs w:val="20"/>
        </w:rPr>
        <w:t xml:space="preserve">•  Does the biggest package always give the best unit rate?</w:t>
      </w:r>
    </w:p>
    <w:p>
      <w:pPr>
        <w:spacing w:after="40"/>
        <w:ind w:left="300"/>
      </w:pPr>
      <w:r>
        <w:rPr>
          <w:sz w:val="20"/>
          <w:szCs w:val="20"/>
        </w:rPr>
        <w:t xml:space="preserve">•  How can unit rates help you make smart spending decisions?</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Which is the better buy: 6 bouncy balls for $4.50 or 10 bouncy balls for $8.00?</w:t>
      </w:r>
    </w:p>
    <w:p>
      <w:pPr>
        <w:spacing w:after="30"/>
        <w:ind w:left="420"/>
      </w:pPr>
      <w:r>
        <w:rPr>
          <w:sz w:val="20"/>
          <w:szCs w:val="20"/>
        </w:rPr>
        <w:t xml:space="preserve">A)  6 for $4.50 — $0.75 each</w:t>
      </w:r>
    </w:p>
    <w:p>
      <w:pPr>
        <w:spacing w:after="30"/>
        <w:ind w:left="420"/>
      </w:pPr>
      <w:r>
        <w:rPr>
          <w:sz w:val="20"/>
          <w:szCs w:val="20"/>
        </w:rPr>
        <w:t xml:space="preserve">B)  10 for $8.00 — $0.80 each</w:t>
      </w:r>
    </w:p>
    <w:p>
      <w:pPr>
        <w:spacing w:after="30"/>
        <w:ind w:left="420"/>
      </w:pPr>
      <w:r>
        <w:rPr>
          <w:sz w:val="20"/>
          <w:szCs w:val="20"/>
        </w:rPr>
        <w:t xml:space="preserve">C)  They cost the same per ball</w:t>
      </w:r>
    </w:p>
    <w:p>
      <w:pPr>
        <w:spacing w:after="30"/>
        <w:ind w:left="420"/>
      </w:pPr>
      <w:r>
        <w:rPr>
          <w:sz w:val="20"/>
          <w:szCs w:val="20"/>
        </w:rPr>
        <w:t xml:space="preserve">D)  Not enough information</w:t>
      </w:r>
    </w:p>
    <w:p>
      <w:pPr>
        <w:spacing w:after="20" w:before="50"/>
      </w:pPr>
      <w:r>
        <w:rPr>
          <w:b/>
          <w:bCs/>
          <w:color w:val="1FA6A2"/>
          <w:sz w:val="21"/>
          <w:szCs w:val="21"/>
        </w:rPr>
        <w:t xml:space="preserve">Step 1:  </w:t>
      </w:r>
      <w:r>
        <w:rPr>
          <w:sz w:val="21"/>
          <w:szCs w:val="21"/>
        </w:rPr>
        <w:t xml:space="preserve">$4.50 ÷ 6 = $0.75 each.</w:t>
      </w:r>
    </w:p>
    <w:p>
      <w:pPr>
        <w:spacing w:after="20" w:before="50"/>
      </w:pPr>
      <w:r>
        <w:rPr>
          <w:b/>
          <w:bCs/>
          <w:color w:val="1FA6A2"/>
          <w:sz w:val="21"/>
          <w:szCs w:val="21"/>
        </w:rPr>
        <w:t xml:space="preserve">Step 2:  </w:t>
      </w:r>
      <w:r>
        <w:rPr>
          <w:sz w:val="21"/>
          <w:szCs w:val="21"/>
        </w:rPr>
        <w:t xml:space="preserve">$8.00 ÷ 10 = $0.80 each.</w:t>
      </w:r>
    </w:p>
    <w:p>
      <w:pPr>
        <w:spacing w:after="20" w:before="50"/>
      </w:pPr>
      <w:r>
        <w:rPr>
          <w:b/>
          <w:bCs/>
          <w:color w:val="1FA6A2"/>
          <w:sz w:val="21"/>
          <w:szCs w:val="21"/>
        </w:rPr>
        <w:t xml:space="preserve">Step 3:  </w:t>
      </w:r>
      <w:r>
        <w:rPr>
          <w:sz w:val="21"/>
          <w:szCs w:val="21"/>
        </w:rPr>
        <w:t xml:space="preserve">$0.75 &lt; $0.80, so 6 for $4.50 is the better buy.</w:t>
      </w:r>
    </w:p>
    <w:p>
      <w:pPr>
        <w:spacing w:after="40" w:before="60"/>
      </w:pPr>
      <w:r>
        <w:rPr>
          <w:b/>
          <w:bCs/>
          <w:color w:val="12355B"/>
          <w:sz w:val="21"/>
          <w:szCs w:val="21"/>
        </w:rPr>
        <w:t xml:space="preserve">Answer:  </w:t>
      </w:r>
      <w:r>
        <w:rPr>
          <w:b/>
          <w:bCs/>
          <w:sz w:val="21"/>
          <w:szCs w:val="21"/>
        </w:rPr>
        <w:t xml:space="preserve">A. 6 for $4.50 — $0.75 each</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A faucet drips 15 ounces of water in 5 minutes. What is the unit rate?</w:t>
      </w:r>
    </w:p>
    <w:p>
      <w:pPr>
        <w:spacing w:after="30"/>
        <w:ind w:left="420"/>
      </w:pPr>
      <w:r>
        <w:rPr>
          <w:sz w:val="20"/>
          <w:szCs w:val="20"/>
        </w:rPr>
        <w:t xml:space="preserve">A)  3 ounces per minute</w:t>
      </w:r>
    </w:p>
    <w:p>
      <w:pPr>
        <w:spacing w:after="30"/>
        <w:ind w:left="420"/>
      </w:pPr>
      <w:r>
        <w:rPr>
          <w:sz w:val="20"/>
          <w:szCs w:val="20"/>
        </w:rPr>
        <w:t xml:space="preserve">B)  5 ounces per minute</w:t>
      </w:r>
    </w:p>
    <w:p>
      <w:pPr>
        <w:spacing w:after="30"/>
        <w:ind w:left="420"/>
      </w:pPr>
      <w:r>
        <w:rPr>
          <w:sz w:val="20"/>
          <w:szCs w:val="20"/>
        </w:rPr>
        <w:t xml:space="preserve">C)  15 ounces per minute</w:t>
      </w:r>
    </w:p>
    <w:p>
      <w:pPr>
        <w:spacing w:after="30"/>
        <w:ind w:left="420"/>
      </w:pPr>
      <w:r>
        <w:rPr>
          <w:sz w:val="20"/>
          <w:szCs w:val="20"/>
        </w:rPr>
        <w:t xml:space="preserve">D)  0.33 ounces per minute</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50"/>
      </w:pPr>
      <w:r>
        <w:rPr>
          <w:b/>
          <w:bCs/>
          <w:color w:val="6B4FA0"/>
          <w:sz w:val="21"/>
          <w:szCs w:val="21"/>
        </w:rPr>
        <w:t xml:space="preserve">Step 3:</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The arcade needs 600 prize tickets printed. Printer A prints 150 tickets in 5 minutes. Printer B prints 200 tickets in 8 minutes. The manager wants to use the faster printer.</w:t>
            </w:r>
          </w:p>
          <w:p>
            <w:pPr>
              <w:spacing w:after="0"/>
            </w:pPr>
            <w:r>
              <w:rPr>
                <w:b/>
                <w:bCs/>
                <w:color w:val="12355B"/>
                <w:sz w:val="21"/>
                <w:szCs w:val="21"/>
              </w:rPr>
              <w:t xml:space="preserve">Which printer should the manager choose, and how long will it take to print all 600 tickets?</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Printer A prints ___ tickets per minute. Printer B prints ___ tickets per minute. The manager should use Printer ___ because it is faster. It will take ___ minutes to print 600 tickets.</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As supply manager you compare token deals like 500 for $60 and 350 for $38.50. You can't compare totals directly, so what does finding the cost 'per unit' let you do?</w:t>
      </w:r>
    </w:p>
    <w:p>
      <w:pPr>
        <w:spacing w:after="60"/>
      </w:pPr>
      <w:r>
        <w:rPr>
          <w:color w:val="1A2733"/>
          <w:sz w:val="21"/>
          <w:szCs w:val="21"/>
        </w:rPr>
        <w:t xml:space="preserve">Start with:  I can't compare the totals because ___.</w:t>
      </w:r>
      <w:r>
        <w:rPr>
          <w:i/>
          <w:iCs/>
          <w:color w:val="5F6F80"/>
          <w:sz w:val="19"/>
          <w:szCs w:val="19"/>
        </w:rPr>
        <w:br/>
        <w:t xml:space="preserve">No puedo comparar los totales porque ___.</w:t>
      </w:r>
    </w:p>
    <w:p>
      <w:pPr>
        <w:spacing w:after="80"/>
      </w:pPr>
      <w:r>
        <w:rPr>
          <w:b/>
          <w:bCs/>
          <w:color w:val="12355B"/>
          <w:sz w:val="19"/>
          <w:szCs w:val="19"/>
        </w:rPr>
        <w:t xml:space="preserve">Word bank:  </w:t>
      </w:r>
      <w:r>
        <w:rPr>
          <w:color w:val="1FA6A2"/>
          <w:sz w:val="19"/>
          <w:szCs w:val="19"/>
        </w:rPr>
        <w:t xml:space="preserve">unit rate,  per unit,  comparison,  rate</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How did the unit rate help you decide the better buy between the two token suppliers in your table?</w:t>
      </w:r>
    </w:p>
    <w:p>
      <w:pPr>
        <w:spacing w:after="60"/>
      </w:pPr>
      <w:r>
        <w:rPr>
          <w:color w:val="1A2733"/>
          <w:sz w:val="21"/>
          <w:szCs w:val="21"/>
        </w:rPr>
        <w:t xml:space="preserve">Start with:  The unit rate for ___ is $___ per token.</w:t>
      </w:r>
      <w:r>
        <w:rPr>
          <w:i/>
          <w:iCs/>
          <w:color w:val="5F6F80"/>
          <w:sz w:val="19"/>
          <w:szCs w:val="19"/>
        </w:rPr>
        <w:br/>
        <w:t xml:space="preserve">La tasa unitaria de ___ es $___ por ficha.</w:t>
      </w:r>
    </w:p>
    <w:p>
      <w:pPr>
        <w:spacing w:after="80"/>
      </w:pPr>
      <w:r>
        <w:rPr>
          <w:b/>
          <w:bCs/>
          <w:color w:val="12355B"/>
          <w:sz w:val="19"/>
          <w:szCs w:val="19"/>
        </w:rPr>
        <w:t xml:space="preserve">Word bank:  </w:t>
      </w:r>
      <w:r>
        <w:rPr>
          <w:color w:val="1FA6A2"/>
          <w:sz w:val="19"/>
          <w:szCs w:val="19"/>
        </w:rPr>
        <w:t xml:space="preserve">unit rate,  better buy,  per unit,  comparison,  rate</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Printer A makes 150 tickets in 5 minutes and Printer B makes 200 in 8 minutes. The manager needs 600 tickets fast. How do unit rates decide the faster printer and the time needed?</w:t>
      </w:r>
    </w:p>
    <w:p>
      <w:pPr>
        <w:spacing w:after="60"/>
      </w:pPr>
      <w:r>
        <w:rPr>
          <w:color w:val="1A2733"/>
          <w:sz w:val="21"/>
          <w:szCs w:val="21"/>
        </w:rPr>
        <w:t xml:space="preserve">Start with:  Printer A prints ___ tickets per minute and Printer B prints ___.</w:t>
      </w:r>
      <w:r>
        <w:rPr>
          <w:i/>
          <w:iCs/>
          <w:color w:val="5F6F80"/>
          <w:sz w:val="19"/>
          <w:szCs w:val="19"/>
        </w:rPr>
        <w:br/>
        <w:t xml:space="preserve">La impresora A imprime ___ boletos por minuto y la B imprime ___.</w:t>
      </w:r>
    </w:p>
    <w:p>
      <w:pPr>
        <w:spacing w:after="80"/>
      </w:pPr>
      <w:r>
        <w:rPr>
          <w:b/>
          <w:bCs/>
          <w:color w:val="12355B"/>
          <w:sz w:val="19"/>
          <w:szCs w:val="19"/>
        </w:rPr>
        <w:t xml:space="preserve">Word bank:  </w:t>
      </w:r>
      <w:r>
        <w:rPr>
          <w:color w:val="1FA6A2"/>
          <w:sz w:val="19"/>
          <w:szCs w:val="19"/>
        </w:rPr>
        <w:t xml:space="preserve">unit rate,  rate,  per unit,  comparison,  proportion</w:t>
      </w:r>
    </w:p>
    <w:p>
      <w:pPr>
        <w:spacing w:after="40" w:before="80"/>
      </w:pPr>
      <w:r>
        <w:rPr>
          <w:b/>
          <w:bCs/>
          <w:color w:val="12355B"/>
          <w:sz w:val="21"/>
          <w:szCs w:val="21"/>
        </w:rPr>
        <w:t xml:space="preserve">4. </w:t>
      </w:r>
      <w:r>
        <w:rPr>
          <w:b/>
          <w:bCs/>
          <w:color w:val="6B4FA0"/>
          <w:sz w:val="19"/>
          <w:szCs w:val="19"/>
        </w:rPr>
        <w:t xml:space="preserve">[Practice] </w:t>
      </w:r>
      <w:r>
        <w:rPr>
          <w:b/>
          <w:bCs/>
          <w:sz w:val="21"/>
          <w:szCs w:val="21"/>
        </w:rPr>
        <w:t xml:space="preserve">During practice on Solve Problems with Unit Rates, what strategy did you use when a problem felt tricky?</w:t>
      </w:r>
    </w:p>
    <w:p>
      <w:pPr>
        <w:spacing w:after="60"/>
      </w:pPr>
      <w:r>
        <w:rPr>
          <w:color w:val="1A2733"/>
          <w:sz w:val="21"/>
          <w:szCs w:val="21"/>
        </w:rPr>
        <w:t xml:space="preserve">Start with:  The unit rate for ___ is $___ per token.</w:t>
      </w:r>
      <w:r>
        <w:rPr>
          <w:i/>
          <w:iCs/>
          <w:color w:val="5F6F80"/>
          <w:sz w:val="19"/>
          <w:szCs w:val="19"/>
        </w:rPr>
        <w:br/>
        <w:t xml:space="preserve">La tasa unitaria de ___ es $___ por ficha.</w:t>
      </w:r>
    </w:p>
    <w:p>
      <w:pPr>
        <w:spacing w:after="80"/>
      </w:pPr>
      <w:r>
        <w:rPr>
          <w:b/>
          <w:bCs/>
          <w:color w:val="12355B"/>
          <w:sz w:val="19"/>
          <w:szCs w:val="19"/>
        </w:rPr>
        <w:t xml:space="preserve">Word bank:  </w:t>
      </w:r>
      <w:r>
        <w:rPr>
          <w:color w:val="1FA6A2"/>
          <w:sz w:val="19"/>
          <w:szCs w:val="19"/>
        </w:rPr>
        <w:t xml:space="preserve">Unit Rate,  Better Buy,  Comparison,  Per Unit</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A printer prints 42 pages in 6 minutes. How many pages does it print in 15 minutes at the same rate?</w:t>
      </w:r>
    </w:p>
    <w:p>
      <w:pPr>
        <w:spacing w:after="40"/>
        <w:ind w:left="420"/>
      </w:pPr>
      <w:r>
        <w:rPr>
          <w:sz w:val="20"/>
          <w:szCs w:val="20"/>
        </w:rPr>
        <w:t xml:space="preserve">A)  105 pages</w:t>
      </w:r>
    </w:p>
    <w:p>
      <w:pPr>
        <w:spacing w:after="40"/>
        <w:ind w:left="420"/>
      </w:pPr>
      <w:r>
        <w:rPr>
          <w:sz w:val="20"/>
          <w:szCs w:val="20"/>
        </w:rPr>
        <w:t xml:space="preserve">B)  90 pages</w:t>
      </w:r>
    </w:p>
    <w:p>
      <w:pPr>
        <w:spacing w:after="40"/>
        <w:ind w:left="420"/>
      </w:pPr>
      <w:r>
        <w:rPr>
          <w:sz w:val="20"/>
          <w:szCs w:val="20"/>
        </w:rPr>
        <w:t xml:space="preserve">C)  70 pages</w:t>
      </w:r>
    </w:p>
    <w:p>
      <w:pPr>
        <w:spacing w:after="40"/>
        <w:ind w:left="420"/>
      </w:pPr>
      <w:r>
        <w:rPr>
          <w:sz w:val="20"/>
          <w:szCs w:val="20"/>
        </w:rPr>
        <w:t xml:space="preserve">D)  120 pages</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Store A sells 5 notebooks for $8. Store B sells 3 notebooks for $5.25. Which has the lower price per notebook?</w:t>
      </w:r>
    </w:p>
    <w:p>
      <w:pPr>
        <w:spacing w:after="40"/>
        <w:ind w:left="420"/>
      </w:pPr>
      <w:r>
        <w:rPr>
          <w:sz w:val="20"/>
          <w:szCs w:val="20"/>
        </w:rPr>
        <w:t xml:space="preserve">A)  Store A ($1.60 each)</w:t>
      </w:r>
    </w:p>
    <w:p>
      <w:pPr>
        <w:spacing w:after="40"/>
        <w:ind w:left="420"/>
      </w:pPr>
      <w:r>
        <w:rPr>
          <w:sz w:val="20"/>
          <w:szCs w:val="20"/>
        </w:rPr>
        <w:t xml:space="preserve">B)  Store B ($1.75 each)</w:t>
      </w:r>
    </w:p>
    <w:p>
      <w:pPr>
        <w:spacing w:after="40"/>
        <w:ind w:left="420"/>
      </w:pPr>
      <w:r>
        <w:rPr>
          <w:sz w:val="20"/>
          <w:szCs w:val="20"/>
        </w:rPr>
        <w:t xml:space="preserve">C)  Same price</w:t>
      </w:r>
    </w:p>
    <w:p>
      <w:pPr>
        <w:spacing w:after="40"/>
        <w:ind w:left="420"/>
      </w:pPr>
      <w:r>
        <w:rPr>
          <w:sz w:val="20"/>
          <w:szCs w:val="20"/>
        </w:rPr>
        <w:t xml:space="preserve">D)  Cannot determine</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A machine dispenses 24 tokens in 3 minutes. At this rate, how many tokens does it dispense in 10 minutes?</w:t>
      </w:r>
    </w:p>
    <w:p>
      <w:pPr>
        <w:spacing w:after="40"/>
        <w:ind w:left="420"/>
      </w:pPr>
      <w:r>
        <w:rPr>
          <w:sz w:val="20"/>
          <w:szCs w:val="20"/>
        </w:rPr>
        <w:t xml:space="preserve">A)  80 tokens</w:t>
      </w:r>
    </w:p>
    <w:p>
      <w:pPr>
        <w:spacing w:after="40"/>
        <w:ind w:left="420"/>
      </w:pPr>
      <w:r>
        <w:rPr>
          <w:sz w:val="20"/>
          <w:szCs w:val="20"/>
        </w:rPr>
        <w:t xml:space="preserve">B)  60 tokens</w:t>
      </w:r>
    </w:p>
    <w:p>
      <w:pPr>
        <w:spacing w:after="40"/>
        <w:ind w:left="420"/>
      </w:pPr>
      <w:r>
        <w:rPr>
          <w:sz w:val="20"/>
          <w:szCs w:val="20"/>
        </w:rPr>
        <w:t xml:space="preserve">C)  72 tokens</w:t>
      </w:r>
    </w:p>
    <w:p>
      <w:pPr>
        <w:spacing w:after="40"/>
        <w:ind w:left="420"/>
      </w:pPr>
      <w:r>
        <w:rPr>
          <w:sz w:val="20"/>
          <w:szCs w:val="20"/>
        </w:rPr>
        <w:t xml:space="preserve">D)  240 tokens</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A factory produces 360 widgets in 8 hours. At the same rate, how many widgets are produced in a 12-hour shift?</w:t>
      </w:r>
    </w:p>
    <w:p>
      <w:pPr>
        <w:spacing w:after="40"/>
        <w:ind w:left="420"/>
      </w:pPr>
      <w:r>
        <w:rPr>
          <w:sz w:val="20"/>
          <w:szCs w:val="20"/>
        </w:rPr>
        <w:t xml:space="preserve">A)  540 widgets</w:t>
      </w:r>
    </w:p>
    <w:p>
      <w:pPr>
        <w:spacing w:after="40"/>
        <w:ind w:left="420"/>
      </w:pPr>
      <w:r>
        <w:rPr>
          <w:sz w:val="20"/>
          <w:szCs w:val="20"/>
        </w:rPr>
        <w:t xml:space="preserve">B)  480 widgets</w:t>
      </w:r>
    </w:p>
    <w:p>
      <w:pPr>
        <w:spacing w:after="40"/>
        <w:ind w:left="420"/>
      </w:pPr>
      <w:r>
        <w:rPr>
          <w:sz w:val="20"/>
          <w:szCs w:val="20"/>
        </w:rPr>
        <w:t xml:space="preserve">C)  360 widgets</w:t>
      </w:r>
    </w:p>
    <w:p>
      <w:pPr>
        <w:spacing w:after="40"/>
        <w:ind w:left="420"/>
      </w:pPr>
      <w:r>
        <w:rPr>
          <w:sz w:val="20"/>
          <w:szCs w:val="20"/>
        </w:rPr>
        <w:t xml:space="preserve">D)  720 widgets</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A car travels 195 miles on 6 gallons of gas. What is the unit rate in miles per gallon?</w:t>
      </w:r>
    </w:p>
    <w:p>
      <w:pPr>
        <w:spacing w:after="60"/>
        <w:ind w:left="420"/>
      </w:pPr>
      <w:r>
        <w:rPr>
          <w:sz w:val="21"/>
          <w:szCs w:val="21"/>
        </w:rPr>
        <w:t xml:space="preserve">A)  32.5 miles per gallon</w:t>
      </w:r>
    </w:p>
    <w:p>
      <w:pPr>
        <w:spacing w:after="60"/>
        <w:ind w:left="420"/>
      </w:pPr>
      <w:r>
        <w:rPr>
          <w:sz w:val="21"/>
          <w:szCs w:val="21"/>
        </w:rPr>
        <w:t xml:space="preserve">B)  33 miles per gallon</w:t>
      </w:r>
    </w:p>
    <w:p>
      <w:pPr>
        <w:spacing w:after="60"/>
        <w:ind w:left="420"/>
      </w:pPr>
      <w:r>
        <w:rPr>
          <w:sz w:val="21"/>
          <w:szCs w:val="21"/>
        </w:rPr>
        <w:t xml:space="preserve">C)  30 miles per gallon</w:t>
      </w:r>
    </w:p>
    <w:p>
      <w:pPr>
        <w:spacing w:after="60"/>
        <w:ind w:left="420"/>
      </w:pPr>
      <w:r>
        <w:rPr>
          <w:sz w:val="21"/>
          <w:szCs w:val="21"/>
        </w:rPr>
        <w:t xml:space="preserve">D)  1,170 miles per gallon</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4  ·  Lesson 7  ·  Solve Problems with Unit Rates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2069c971203693492af34e6517bf58627f166165.png"/><Relationship Id="rId10" Type="http://schemas.openxmlformats.org/officeDocument/2006/relationships/image" Target="media/d1660e9a25b1ed82760029478c85b216c74c066a.png"/><Relationship Id="rId11" Type="http://schemas.openxmlformats.org/officeDocument/2006/relationships/image" Target="media/3d02b69c725db2aa9714bbb5557183e8455a730b.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Solve Problems with Unit Rates — Notes Packet</dc:title>
  <dc:creator>Neft Teacher</dc:creator>
  <dc:description>Neft Teacher Grade 6 Math notes packet</dc:description>
  <cp:lastModifiedBy>Un-named</cp:lastModifiedBy>
  <cp:revision>1</cp:revision>
  <dcterms:created xsi:type="dcterms:W3CDTF">2026-06-16T01:00:10.788Z</dcterms:created>
  <dcterms:modified xsi:type="dcterms:W3CDTF">2026-06-16T01:00:10.789Z</dcterms:modified>
</cp:coreProperties>
</file>

<file path=docProps/custom.xml><?xml version="1.0" encoding="utf-8"?>
<Properties xmlns="http://schemas.openxmlformats.org/officeDocument/2006/custom-properties" xmlns:vt="http://schemas.openxmlformats.org/officeDocument/2006/docPropsVTypes"/>
</file>